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E5" w:rsidRPr="00286005" w:rsidRDefault="001A42E5" w:rsidP="00286005">
      <w:pPr>
        <w:widowControl/>
        <w:pBdr>
          <w:bottom w:val="single" w:sz="6" w:space="1" w:color="auto"/>
        </w:pBdr>
        <w:jc w:val="center"/>
        <w:rPr>
          <w:rFonts w:ascii="Arial" w:hAnsi="Arial" w:cs="Arial"/>
          <w:vanish/>
          <w:kern w:val="0"/>
          <w:sz w:val="16"/>
          <w:szCs w:val="16"/>
        </w:rPr>
      </w:pPr>
      <w:r w:rsidRPr="00286005">
        <w:rPr>
          <w:rFonts w:ascii="Arial" w:hAnsi="Arial" w:cs="Arial" w:hint="eastAsia"/>
          <w:vanish/>
          <w:kern w:val="0"/>
          <w:sz w:val="16"/>
          <w:szCs w:val="16"/>
        </w:rPr>
        <w:t>表單的頂端</w:t>
      </w:r>
    </w:p>
    <w:tbl>
      <w:tblPr>
        <w:tblW w:w="9450" w:type="dxa"/>
        <w:tblCellSpacing w:w="15" w:type="dxa"/>
        <w:tblCellMar>
          <w:top w:w="15" w:type="dxa"/>
          <w:left w:w="15" w:type="dxa"/>
          <w:bottom w:w="15" w:type="dxa"/>
          <w:right w:w="15" w:type="dxa"/>
        </w:tblCellMar>
        <w:tblLook w:val="00A0" w:firstRow="1" w:lastRow="0" w:firstColumn="1" w:lastColumn="0" w:noHBand="0" w:noVBand="0"/>
      </w:tblPr>
      <w:tblGrid>
        <w:gridCol w:w="1262"/>
        <w:gridCol w:w="8188"/>
      </w:tblGrid>
      <w:tr w:rsidR="001A42E5" w:rsidRPr="00D40BFB" w:rsidTr="00286005">
        <w:trPr>
          <w:tblCellSpacing w:w="15" w:type="dxa"/>
        </w:trPr>
        <w:tc>
          <w:tcPr>
            <w:tcW w:w="644" w:type="pct"/>
            <w:noWrap/>
            <w:tcMar>
              <w:top w:w="45" w:type="dxa"/>
              <w:left w:w="0" w:type="dxa"/>
              <w:bottom w:w="0" w:type="dxa"/>
              <w:right w:w="240" w:type="dxa"/>
            </w:tcMar>
          </w:tcPr>
          <w:p w:rsidR="001A42E5" w:rsidRPr="00286005" w:rsidRDefault="001A42E5" w:rsidP="00286005">
            <w:pPr>
              <w:widowControl/>
              <w:spacing w:after="75"/>
              <w:rPr>
                <w:rFonts w:ascii="細明體" w:eastAsia="細明體" w:hAnsi="細明體" w:cs="新細明體"/>
                <w:b/>
                <w:bCs/>
                <w:kern w:val="0"/>
                <w:sz w:val="23"/>
                <w:szCs w:val="23"/>
              </w:rPr>
            </w:pPr>
            <w:r w:rsidRPr="00286005">
              <w:rPr>
                <w:rFonts w:ascii="細明體" w:eastAsia="細明體" w:hAnsi="細明體" w:cs="新細明體" w:hint="eastAsia"/>
                <w:b/>
                <w:bCs/>
                <w:kern w:val="0"/>
                <w:sz w:val="23"/>
                <w:szCs w:val="23"/>
              </w:rPr>
              <w:t>名　　稱</w:t>
            </w:r>
          </w:p>
        </w:tc>
        <w:tc>
          <w:tcPr>
            <w:tcW w:w="4308" w:type="pct"/>
            <w:tcMar>
              <w:top w:w="45" w:type="dxa"/>
              <w:left w:w="45" w:type="dxa"/>
              <w:bottom w:w="45" w:type="dxa"/>
              <w:right w:w="45" w:type="dxa"/>
            </w:tcMar>
          </w:tcPr>
          <w:p w:rsidR="001A42E5" w:rsidRPr="00286005" w:rsidRDefault="001A42E5" w:rsidP="00286005">
            <w:pPr>
              <w:widowControl/>
              <w:spacing w:after="75" w:line="312" w:lineRule="auto"/>
              <w:rPr>
                <w:rFonts w:ascii="細明體" w:eastAsia="細明體" w:hAnsi="細明體" w:cs="新細明體"/>
                <w:kern w:val="0"/>
                <w:sz w:val="23"/>
                <w:szCs w:val="23"/>
              </w:rPr>
            </w:pPr>
            <w:bookmarkStart w:id="0" w:name="_GoBack"/>
            <w:r w:rsidRPr="00286005">
              <w:rPr>
                <w:rFonts w:ascii="細明體" w:eastAsia="細明體" w:hAnsi="細明體" w:cs="新細明體" w:hint="eastAsia"/>
                <w:kern w:val="0"/>
                <w:sz w:val="23"/>
                <w:szCs w:val="23"/>
              </w:rPr>
              <w:t>公立高級中等以下學校教師成績考核辦法</w:t>
            </w:r>
            <w:r w:rsidRPr="00286005">
              <w:rPr>
                <w:rFonts w:ascii="細明體" w:eastAsia="細明體" w:hAnsi="細明體" w:cs="新細明體"/>
                <w:kern w:val="0"/>
                <w:sz w:val="23"/>
                <w:szCs w:val="23"/>
              </w:rPr>
              <w:t xml:space="preserve"> </w:t>
            </w:r>
            <w:bookmarkEnd w:id="0"/>
          </w:p>
        </w:tc>
      </w:tr>
      <w:tr w:rsidR="001A42E5" w:rsidRPr="00D40BFB" w:rsidTr="00286005">
        <w:trPr>
          <w:tblCellSpacing w:w="15" w:type="dxa"/>
        </w:trPr>
        <w:tc>
          <w:tcPr>
            <w:tcW w:w="644" w:type="pct"/>
            <w:noWrap/>
            <w:tcMar>
              <w:top w:w="45" w:type="dxa"/>
              <w:left w:w="0" w:type="dxa"/>
              <w:bottom w:w="0" w:type="dxa"/>
              <w:right w:w="240" w:type="dxa"/>
            </w:tcMar>
          </w:tcPr>
          <w:p w:rsidR="001A42E5" w:rsidRPr="00286005" w:rsidRDefault="001A42E5" w:rsidP="00286005">
            <w:pPr>
              <w:widowControl/>
              <w:spacing w:after="75"/>
              <w:rPr>
                <w:rFonts w:ascii="細明體" w:eastAsia="細明體" w:hAnsi="細明體" w:cs="新細明體"/>
                <w:b/>
                <w:bCs/>
                <w:kern w:val="0"/>
                <w:sz w:val="23"/>
                <w:szCs w:val="23"/>
              </w:rPr>
            </w:pPr>
            <w:r w:rsidRPr="00286005">
              <w:rPr>
                <w:rFonts w:ascii="細明體" w:eastAsia="細明體" w:hAnsi="細明體" w:cs="新細明體" w:hint="eastAsia"/>
                <w:b/>
                <w:bCs/>
                <w:kern w:val="0"/>
                <w:sz w:val="23"/>
                <w:szCs w:val="23"/>
              </w:rPr>
              <w:t>修正日期</w:t>
            </w:r>
            <w:r w:rsidRPr="00286005">
              <w:rPr>
                <w:rFonts w:ascii="細明體" w:eastAsia="細明體" w:hAnsi="細明體" w:cs="新細明體"/>
                <w:b/>
                <w:bCs/>
                <w:kern w:val="0"/>
                <w:sz w:val="23"/>
                <w:szCs w:val="23"/>
              </w:rPr>
              <w:t xml:space="preserve"> </w:t>
            </w:r>
          </w:p>
        </w:tc>
        <w:tc>
          <w:tcPr>
            <w:tcW w:w="4308" w:type="pct"/>
            <w:tcMar>
              <w:top w:w="45" w:type="dxa"/>
              <w:left w:w="45" w:type="dxa"/>
              <w:bottom w:w="45" w:type="dxa"/>
              <w:right w:w="45" w:type="dxa"/>
            </w:tcMar>
          </w:tcPr>
          <w:p w:rsidR="001A42E5" w:rsidRPr="00286005" w:rsidRDefault="001A42E5" w:rsidP="00286005">
            <w:pPr>
              <w:widowControl/>
              <w:spacing w:after="75"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民國</w:t>
            </w:r>
            <w:r w:rsidRPr="00286005">
              <w:rPr>
                <w:rFonts w:ascii="細明體" w:eastAsia="細明體" w:hAnsi="細明體" w:cs="新細明體"/>
                <w:kern w:val="0"/>
                <w:sz w:val="23"/>
                <w:szCs w:val="23"/>
              </w:rPr>
              <w:t xml:space="preserve"> 102 </w:t>
            </w:r>
            <w:r w:rsidRPr="00286005">
              <w:rPr>
                <w:rFonts w:ascii="細明體" w:eastAsia="細明體" w:hAnsi="細明體" w:cs="新細明體" w:hint="eastAsia"/>
                <w:kern w:val="0"/>
                <w:sz w:val="23"/>
                <w:szCs w:val="23"/>
              </w:rPr>
              <w:t>年</w:t>
            </w:r>
            <w:r w:rsidRPr="00286005">
              <w:rPr>
                <w:rFonts w:ascii="細明體" w:eastAsia="細明體" w:hAnsi="細明體" w:cs="新細明體"/>
                <w:kern w:val="0"/>
                <w:sz w:val="23"/>
                <w:szCs w:val="23"/>
              </w:rPr>
              <w:t xml:space="preserve"> 12 </w:t>
            </w:r>
            <w:r w:rsidRPr="00286005">
              <w:rPr>
                <w:rFonts w:ascii="細明體" w:eastAsia="細明體" w:hAnsi="細明體" w:cs="新細明體" w:hint="eastAsia"/>
                <w:kern w:val="0"/>
                <w:sz w:val="23"/>
                <w:szCs w:val="23"/>
              </w:rPr>
              <w:t>月</w:t>
            </w:r>
            <w:r w:rsidRPr="00286005">
              <w:rPr>
                <w:rFonts w:ascii="細明體" w:eastAsia="細明體" w:hAnsi="細明體" w:cs="新細明體"/>
                <w:kern w:val="0"/>
                <w:sz w:val="23"/>
                <w:szCs w:val="23"/>
              </w:rPr>
              <w:t xml:space="preserve"> 20 </w:t>
            </w:r>
            <w:r w:rsidRPr="00286005">
              <w:rPr>
                <w:rFonts w:ascii="細明體" w:eastAsia="細明體" w:hAnsi="細明體" w:cs="新細明體" w:hint="eastAsia"/>
                <w:kern w:val="0"/>
                <w:sz w:val="23"/>
                <w:szCs w:val="23"/>
              </w:rPr>
              <w:t>日</w:t>
            </w:r>
            <w:r w:rsidRPr="00286005">
              <w:rPr>
                <w:rFonts w:ascii="細明體" w:eastAsia="細明體" w:hAnsi="細明體" w:cs="新細明體"/>
                <w:kern w:val="0"/>
                <w:sz w:val="23"/>
                <w:szCs w:val="23"/>
              </w:rPr>
              <w:t xml:space="preserve"> </w:t>
            </w:r>
          </w:p>
        </w:tc>
      </w:tr>
      <w:tr w:rsidR="001A42E5" w:rsidRPr="00D40BFB" w:rsidTr="00286005">
        <w:trPr>
          <w:tblCellSpacing w:w="15" w:type="dxa"/>
        </w:trPr>
        <w:tc>
          <w:tcPr>
            <w:tcW w:w="644" w:type="pct"/>
            <w:noWrap/>
            <w:tcMar>
              <w:top w:w="45" w:type="dxa"/>
              <w:left w:w="0" w:type="dxa"/>
              <w:bottom w:w="0" w:type="dxa"/>
              <w:right w:w="240" w:type="dxa"/>
            </w:tcMar>
          </w:tcPr>
          <w:p w:rsidR="001A42E5" w:rsidRPr="00286005" w:rsidRDefault="001A42E5" w:rsidP="00286005">
            <w:pPr>
              <w:widowControl/>
              <w:spacing w:after="75"/>
              <w:rPr>
                <w:rFonts w:ascii="細明體" w:eastAsia="細明體" w:hAnsi="細明體" w:cs="新細明體"/>
                <w:b/>
                <w:bCs/>
                <w:kern w:val="0"/>
                <w:sz w:val="23"/>
                <w:szCs w:val="23"/>
              </w:rPr>
            </w:pPr>
            <w:r w:rsidRPr="00286005">
              <w:rPr>
                <w:rFonts w:ascii="細明體" w:eastAsia="細明體" w:hAnsi="細明體" w:cs="新細明體" w:hint="eastAsia"/>
                <w:b/>
                <w:bCs/>
                <w:kern w:val="0"/>
                <w:sz w:val="23"/>
                <w:szCs w:val="23"/>
              </w:rPr>
              <w:t>生效狀態</w:t>
            </w:r>
          </w:p>
        </w:tc>
        <w:tc>
          <w:tcPr>
            <w:tcW w:w="4308" w:type="pct"/>
            <w:tcMar>
              <w:top w:w="45" w:type="dxa"/>
              <w:left w:w="45" w:type="dxa"/>
              <w:bottom w:w="45" w:type="dxa"/>
              <w:right w:w="45" w:type="dxa"/>
            </w:tcMar>
          </w:tcPr>
          <w:p w:rsidR="001A42E5" w:rsidRPr="00286005" w:rsidRDefault="001A42E5" w:rsidP="00286005">
            <w:pPr>
              <w:widowControl/>
              <w:spacing w:after="75"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※本法規部分或全部條文尚未生效</w:t>
            </w:r>
            <w:r w:rsidRPr="00286005">
              <w:rPr>
                <w:rFonts w:ascii="細明體" w:eastAsia="細明體" w:hAnsi="細明體" w:cs="新細明體"/>
                <w:kern w:val="0"/>
                <w:sz w:val="23"/>
                <w:szCs w:val="23"/>
              </w:rPr>
              <w:t xml:space="preserve"> </w:t>
            </w:r>
            <w:r w:rsidRPr="00286005">
              <w:rPr>
                <w:rFonts w:ascii="細明體" w:eastAsia="細明體" w:hAnsi="細明體" w:cs="新細明體" w:hint="eastAsia"/>
                <w:kern w:val="0"/>
                <w:sz w:val="23"/>
                <w:szCs w:val="23"/>
              </w:rPr>
              <w:t xml:space="preserve">　　　　</w:t>
            </w:r>
            <w:r w:rsidRPr="00286005">
              <w:rPr>
                <w:rFonts w:ascii="細明體" w:eastAsia="細明體" w:hAnsi="細明體" w:cs="新細明體"/>
                <w:kern w:val="0"/>
                <w:sz w:val="23"/>
                <w:szCs w:val="23"/>
              </w:rPr>
              <w:t xml:space="preserve"> </w:t>
            </w:r>
            <w:r w:rsidRPr="00286005">
              <w:rPr>
                <w:rFonts w:ascii="細明體" w:eastAsia="細明體" w:hAnsi="細明體" w:cs="新細明體"/>
                <w:kern w:val="0"/>
                <w:sz w:val="23"/>
                <w:szCs w:val="23"/>
              </w:rPr>
              <w:br/>
            </w:r>
            <w:r w:rsidRPr="00286005">
              <w:rPr>
                <w:rFonts w:ascii="細明體" w:eastAsia="細明體" w:hAnsi="細明體" w:cs="新細明體" w:hint="eastAsia"/>
                <w:kern w:val="0"/>
                <w:sz w:val="23"/>
                <w:szCs w:val="23"/>
              </w:rPr>
              <w:t>本辦法</w:t>
            </w:r>
            <w:r w:rsidRPr="00286005">
              <w:rPr>
                <w:rFonts w:ascii="細明體" w:eastAsia="細明體" w:hAnsi="細明體" w:cs="新細明體"/>
                <w:kern w:val="0"/>
                <w:sz w:val="23"/>
                <w:szCs w:val="23"/>
              </w:rPr>
              <w:t> 102.12.20  </w:t>
            </w:r>
            <w:r w:rsidRPr="00286005">
              <w:rPr>
                <w:rFonts w:ascii="細明體" w:eastAsia="細明體" w:hAnsi="細明體" w:cs="新細明體" w:hint="eastAsia"/>
                <w:kern w:val="0"/>
                <w:sz w:val="23"/>
                <w:szCs w:val="23"/>
              </w:rPr>
              <w:t>修正之全文</w:t>
            </w:r>
            <w:r w:rsidRPr="00286005">
              <w:rPr>
                <w:rFonts w:ascii="細明體" w:eastAsia="細明體" w:hAnsi="細明體" w:cs="新細明體"/>
                <w:kern w:val="0"/>
                <w:sz w:val="23"/>
                <w:szCs w:val="23"/>
              </w:rPr>
              <w:t> 24 </w:t>
            </w:r>
            <w:r w:rsidRPr="00286005">
              <w:rPr>
                <w:rFonts w:ascii="細明體" w:eastAsia="細明體" w:hAnsi="細明體" w:cs="新細明體" w:hint="eastAsia"/>
                <w:kern w:val="0"/>
                <w:sz w:val="23"/>
                <w:szCs w:val="23"/>
              </w:rPr>
              <w:t>條，自中華民國一百零三年八月一日</w:t>
            </w:r>
            <w:r w:rsidRPr="00286005">
              <w:rPr>
                <w:rFonts w:ascii="細明體" w:eastAsia="細明體" w:hAnsi="細明體" w:cs="新細明體"/>
                <w:kern w:val="0"/>
                <w:sz w:val="23"/>
                <w:szCs w:val="23"/>
              </w:rPr>
              <w:br/>
            </w:r>
            <w:r w:rsidRPr="00286005">
              <w:rPr>
                <w:rFonts w:ascii="細明體" w:eastAsia="細明體" w:hAnsi="細明體" w:cs="新細明體" w:hint="eastAsia"/>
                <w:kern w:val="0"/>
                <w:sz w:val="23"/>
                <w:szCs w:val="23"/>
              </w:rPr>
              <w:t>施行。</w:t>
            </w:r>
          </w:p>
        </w:tc>
      </w:tr>
    </w:tbl>
    <w:p w:rsidR="001A42E5" w:rsidRPr="00286005" w:rsidRDefault="001A42E5" w:rsidP="00286005">
      <w:pPr>
        <w:widowControl/>
        <w:rPr>
          <w:rFonts w:ascii="細明體" w:eastAsia="細明體" w:hAnsi="細明體" w:cs="新細明體"/>
          <w:vanish/>
          <w:kern w:val="0"/>
          <w:sz w:val="23"/>
          <w:szCs w:val="23"/>
        </w:rPr>
      </w:pPr>
    </w:p>
    <w:tbl>
      <w:tblPr>
        <w:tblW w:w="9450" w:type="dxa"/>
        <w:tblCellSpacing w:w="15" w:type="dxa"/>
        <w:tblCellMar>
          <w:top w:w="15" w:type="dxa"/>
          <w:left w:w="15" w:type="dxa"/>
          <w:bottom w:w="15" w:type="dxa"/>
          <w:right w:w="15" w:type="dxa"/>
        </w:tblCellMar>
        <w:tblLook w:val="00A0" w:firstRow="1" w:lastRow="0" w:firstColumn="1" w:lastColumn="0" w:noHBand="0" w:noVBand="0"/>
      </w:tblPr>
      <w:tblGrid>
        <w:gridCol w:w="1062"/>
        <w:gridCol w:w="235"/>
        <w:gridCol w:w="8153"/>
      </w:tblGrid>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after="75"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after="75"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本辦法依高級中等教育法第三十三條及國民教育法第十八條第二項規定訂</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定之。</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2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公立高級中等以下學校編制內專任合格教師（以下簡稱教師）之成績考核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，依本辦法辦理。</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3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教師任職至學年度終了屆滿一學年者，應予年終成績考核，不滿一學年而</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連續任職已達六個月者，另予成績考核。但教師於考核年度內有教師法第</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十四條第一項各款規定情事之一或教育人員任用條例第三十一條第一項各</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款規定情事之一，經依法定程序予以解聘或不續聘者，不再辦理年終成績</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考核或另予成績考核。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教師在考核年度內有下列各款情形之一者，得併計年資參加考核：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一、轉任其他學校年資未中斷。</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二、服役期滿退伍，在規定期間返回原校復職。</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教師依法服兵役，合於參加成績考核之規定者，應併同在職人員列冊辦理</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，並以服役情形作為成績考核之參考。但不發給考核獎金。</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教師另予成績考核，應於學年度終了辦理之。但辭職、退休、資遣、死亡</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或留職停薪者得隨時辦理之。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同一考核年度內再任教師，除已辦理另予成績考核者外，其再任至學年度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終了已達六個月者，得於學年度終了辦理另予成績考核。</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4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教師之年終成績考核，應按其教學、訓輔、服務、品德生活及處理行政等</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情形，依下列規定辦理：</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一、在同一學年度內合於下列條件者，除晉本薪或年功薪一級外，並給與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一個月薪給總額之一次獎金，已支年功薪最高級者，給與二個月薪給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總額之一次獎金：</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（一）按課表上課，教法優良，進度適宜，成績卓著。</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（二）訓輔工作得法，效果良好。</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（三）服務熱誠，對校務能切實配合。</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（四）事病假併計在十四日以下，並依照規定補課或請人代課。</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（五）品德生活良好能為學生表率。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（六）專心服務，未違反主管教育行政機關有關兼課兼職規定。</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（七）按時上下課，無曠課、曠職紀錄。</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（八）未受任何刑事、懲戒處分及行政懲處。但受行政懲處而於同一學年</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度經獎懲相抵者，不在此限。</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二、在同一學年度內合於下列條件者，除晉本薪或年功薪一級外，並給與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半個月薪給總額之一次獎金，已支年功薪最高級者，給與一個半月薪</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給總額之一次獎金：</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（一）教學認真，進度適宜。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（二）對訓輔工作能負責盡職。</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（三）對校務之配合尚能符合要求。</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（四）事病假併計超過十四日，未逾二十八日，或因重病住院致病假連續</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超過二十八日而未達延長病假，並依照規定補課或請人代課。</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（五）品德生活考核無不良紀錄。</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三、在同一學年度內有下列情形之一者，留支原薪：</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（一）教學成績平常，勉能符合要求。</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（二）曠課超過二節或曠職累計超過二小時。</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（三）事、病假期間，未依照規定補課或請人代課。</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（四）未經校長同意，擅自在外兼課兼職。</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（五）品德生活較差，情節尚非重大。</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（六）因病已達延長病假。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（七）事病假超過二十八日。</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另予成績考核，列前項第一款者，給與一個月薪給總額之一次獎金；列前</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項第二款者，給與半個月薪給總額之一次獎金；列前項第三款者，不予獎</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勵。</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第一項第一款第四目、第二款第四目及第三款第七目有關事、病假併計日</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數，應扣除請家庭照顧假、生理假，及經醫師診斷需安胎休養者，其治療</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、照護或休養期間請假之日數。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第一項第三款第六目因病已達延長病假之情形，不含經醫師診斷需安胎休</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養者，其治療照護或休養期間之請假。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各學校於辦理教師成績考核時，不得以下列事由，作為成績考核等次之考</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量因素：</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一、依法令規定日數所核給之家庭照顧假、生理假、婚假、產前假、娩假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、流產假或陪產假。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二、經醫師診斷需安胎休養者，其治療、照護或休養期間請假之日數。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三、法令規定核給之哺乳時間、因育嬰減少之工作時間或辦理育嬰留職停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薪。</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第</w:t>
            </w:r>
            <w:r w:rsidRPr="00286005">
              <w:rPr>
                <w:rFonts w:ascii="細明體" w:eastAsia="細明體" w:hAnsi="細明體" w:cs="新細明體"/>
                <w:kern w:val="0"/>
                <w:sz w:val="23"/>
                <w:szCs w:val="23"/>
              </w:rPr>
              <w:t xml:space="preserve"> 5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教師在考核年度內曾記大功、大過之考核列等，除本辦法另有規定外，應</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依下列規定辦理：</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一、經獎懲抵銷後，尚有一次記一大功者，不得考列前條第一項第三款。</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二、經獎懲抵銷後，尚有一次記一大過者，不得考列前條第一項第二款以</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上。</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第</w:t>
            </w:r>
            <w:r w:rsidRPr="00286005">
              <w:rPr>
                <w:rFonts w:ascii="細明體" w:eastAsia="細明體" w:hAnsi="細明體" w:cs="新細明體"/>
                <w:kern w:val="0"/>
                <w:sz w:val="23"/>
                <w:szCs w:val="23"/>
              </w:rPr>
              <w:t xml:space="preserve"> 6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教師之平時考核，應隨時根據具體事實，詳加記錄，如有合於獎懲標準之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事蹟，並應予以獎勵或懲處。獎勵分嘉獎、記功、記大功；懲處分申誡、</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記過、記大過。其規定如下：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一、有下列情形之一者，記大功：</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（一）對教育重大困難問題，能及時提出具體有效改進方案，圓滿解決。</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（二）辦理重要業務成績特優，或有特殊效益。</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（三）在惡劣環境下克盡職責，圓滿達成任務。</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（四）搶救重大災害，切合機宜，有具體效果。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（五）執行重要法令克服困難，圓滿達成任務。</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二、有下列情形之一者，記大過：</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（一）違反法令，情節重大。</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（二）言行不檢，致損害教育人員聲譽，情節重大。</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（三）故意曲解法令，致學生權益遭受重大損害。</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（四）因重大過失貽誤公務，導致不良後果。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（五）違法處罰學生，造成學生身心傷害，情節重大。</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（六）執行職務知有校園性侵害事件，未依規定通報。</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三、有下列情形之一者，記功：</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（一）革新改進教育業務，且努力推行，著有成效。</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（二）對學校校務、設施，有長期發展計畫，且能切實執行，績效卓著。</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（三）研究改進教材教法，確能增進教學效果，提高學生程度。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（四）自願輔導學生課業，並能注意學生身心健康，而教學成績優良。</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（五）推展訓輔工作，確能變化學生氣質，造成優良學風。</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（六）輔導畢業學生就業，著有成績。</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（七）對偶發事件之預防或處理適當，因而避免或減少可能發生之損害。</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（八）教師本人或指導學生代表學校參加各級主管教育行政機關認定之全</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國校際比賽，成績卓著。</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（九）其他優良事蹟，足資表率。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四、有下列情形之一者，記過：</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（一）處理教育業務，工作不力，影響計畫進度。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（二）有不當行為，致損害教育人員聲譽。</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（三）違法處罰學生或不當管教學生，造成學生身心傷害。</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（四）對偶發事件之處理有明顯失職，致損害加重。</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（五）有曠課、曠職紀錄且工作態度消極。</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（六）班級經營不佳，致影響學生受教權益。</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（七）在外補習、違法兼職，或藉職務之便從事私人商業行為。</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（八）代替他人不實簽到退，經查屬實。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（九）對公物未善盡保管義務或有浪費公帑情事，致造成損失。</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（十）其他違反有關教育法令規定之事項。</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五、有下列情形之一者，嘉獎：</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（一）課業編排得當，課程調配妥善，經實施確具成效。</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（二）進行課程研發，有具體績效，在校內進行分享。</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（三）編撰教材、自製教具或教學媒體，成績優良。</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（四）教學優良，評量認真，確能提高學生程度。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（五）對學生之輔導或管教，熱心負責，成績優良。</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（六）辦理教學演示、分享或研習活動，表現優異。</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（七）教師本人或指導學生參加各項活動、比賽，成績優良。</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（八）擔任導師能有效進行品格教育、生活教育足堪表率。</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（九）在課程研發、教學創新、多元評量等方面著有績效，促進團隊合作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（十）其他辦理有關教育工作，成績優良。</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六、有下列情形之一者，申誡：</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（一）執行教育法規不力，有具體事實。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（二）處理業務失當，或督察不週，有具體事實。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（三）不按課程綱要或標準教學，或教學未能盡責，致貽誤學生課業。</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（四）對學生之輔導或管教，未能盡責。</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（五）有不實言論或不當行為致有損學校名譽。</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（六）無正當理由不遵守上下課時間且經勸導仍未改善。</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（七）教學、訓輔行為失當，有損學生學習權益。</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（八）違法處罰學生情節輕微或不當管教學生經令其改善仍未改善。</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（九）其他依法規或學校章則辦理有關教育工作不力，有具體事實。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（十）其他違反有關教育法令規定之事項，情節輕微。</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前項第三款至第六款所列記功、記過、嘉獎、申誡之規定，得視其情節，</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核予一次或二次之獎懲。</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第</w:t>
            </w:r>
            <w:r w:rsidRPr="00286005">
              <w:rPr>
                <w:rFonts w:ascii="細明體" w:eastAsia="細明體" w:hAnsi="細明體" w:cs="新細明體"/>
                <w:kern w:val="0"/>
                <w:sz w:val="23"/>
                <w:szCs w:val="23"/>
              </w:rPr>
              <w:t xml:space="preserve"> 7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教師獎懲累計方式如下：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一、嘉獎三次作為記功一次。</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二、記功三次作為記一大功。</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三、申誡三次作為記過一次。</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四、記過三次作為記一大過。</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前項獎懲同一學年度得相互抵銷。</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8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辦理教師成績考核，高級中等學校應組成考核會；國民小學及國民中學應</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組成考核委員會（以下併稱考核會），其任務如下：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一、學校教師年終成績考核、另予成績考核及平時考核獎懲之初核或核議</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事項。</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二、其他有關考核之核議事項及校長交議考核事項。</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第</w:t>
            </w:r>
            <w:r w:rsidRPr="00286005">
              <w:rPr>
                <w:rFonts w:ascii="細明體" w:eastAsia="細明體" w:hAnsi="細明體" w:cs="新細明體"/>
                <w:kern w:val="0"/>
                <w:sz w:val="23"/>
                <w:szCs w:val="23"/>
              </w:rPr>
              <w:t xml:space="preserve"> 9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考核會由委員九人至十七人組成，除掌理教務、學生事務、輔導、人事業</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務之單位主管及教師會代表一人為當然委員外，其餘由本校教師票選產生</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，並由委員互推一人為主席，任期一年。但參加考核人數不滿二十人之學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校，得降低委員人數，最低不得少於五人，其中當然委員至多二人，除教</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師會代表外，其餘由校長指定之。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委員每滿三人應有一人為未兼行政職務教師；未兼行政職務教師人數之計</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算，應排除教師會代表。</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任一性別委員應占委員總數三分之一以上。但該校任一性別教師人數少於</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委員總數三分之一者，不在此限。</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委員之任期自當年九月一日至次年八月三十一日止。</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委員之總數，由校務會議議決。</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10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考核會會議時，須有全體委員二分之一以上出席，出席委員過半數之同意</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，方得為決議。但審議教師年終成績考核、另予成績考核及記大功、大過</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之平時考核時，應有全體委員三分之二以上出席，出席委員過半數之同意</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，方得為決議。</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11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人事人員辦理教師成績考核前，應將各項應用表件詳細填妥，並檢附有關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資料送考核會初核。</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12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考核會執行初核時，應審查下列事項：</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一、受考核人數。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二、受考核教師平時考核紀錄及下列資料：</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（一）工作成績。</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（二）勤惰資料。</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（三）品德生活紀錄。</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（四）獎懲紀錄。</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三、其他應行考核事項。</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13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考核會初核時，應置備紀錄，記載下列事項：</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一、考核委員名單。</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二、出席委員姓名。</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三、列席人員姓名。</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四、受考核人數。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五、決議事項。</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14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考核會完成初核，應報請校長覆核，校長對初核結果有不同意見時，應敘</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明理由交回復議，對復議結果仍不同意時，得變更之。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校長為前項變更時，應於考核案內註明事實及理由。</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各校平時考核獎勵記功以下之案件，考核會已就相同案情核議有案或已有</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明確獎勵基準者，得先行發布獎勵令，並於獎勵令發布後三十日內提交考</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核會確認；考核會不同意時，應依第一項程序變更之。</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第</w:t>
            </w:r>
            <w:r w:rsidRPr="00286005">
              <w:rPr>
                <w:rFonts w:ascii="細明體" w:eastAsia="細明體" w:hAnsi="細明體" w:cs="新細明體"/>
                <w:kern w:val="0"/>
                <w:sz w:val="23"/>
                <w:szCs w:val="23"/>
              </w:rPr>
              <w:t xml:space="preserve"> 15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教師平時考核獎懲結果之報核程序、期限，由各主管機關定之。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教師年終成績考核及另予成績考核結果，應於每年九月三十日前分別列冊</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報主管機關核定。</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前二項考核結果，學校未依規定期限報核者，主管機關應通知學校限期辦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理；屆期仍未報核者，主管機關得逕行核定。</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第一項及第二項考核結果，主管機關認有疑義時，應敘明事實及理由通知</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學校限期重新報核；屆期未報核者，主管機關得逕行改核，並敘明改核之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理由及追究學校相關人員之責任。</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前項學校重新考核結果，主管機關認仍有疑義者，得逕行改核，並敘明改</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核之理由。</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主管機關就學校所報考核結果，應依下列期限完成核定或改核；屆期未完</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成核定或改核者，視為依學校所報核定：</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一、教師平時考核獎懲結果，於學校報核後二個月內。</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二、教師年終成績考核及另予成績考核結果，於每年十一月三十日前，必</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kern w:val="0"/>
                <w:sz w:val="23"/>
                <w:szCs w:val="23"/>
              </w:rPr>
              <w:t xml:space="preserve">    </w:t>
            </w:r>
            <w:r w:rsidRPr="00286005">
              <w:rPr>
                <w:rFonts w:ascii="細明體" w:eastAsia="細明體" w:hAnsi="細明體" w:cs="細明體" w:hint="eastAsia"/>
                <w:kern w:val="0"/>
                <w:sz w:val="23"/>
                <w:szCs w:val="23"/>
              </w:rPr>
              <w:t>要時得延長至十二月三十一日。</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16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教師成績考核經核定後，應由學校以書面通知受考核教師，並附記不服者</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提起救濟之方法、期間、受理機關。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平時考核之獎懲令應附記理由及不服者提起救濟之方法、期間、受理機關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前二項考核，應以原辦理學校為考核機關。但主管機關依前條第三項及第</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四項規定逕行核定或改核者，以該機關為考核機關。</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17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教師成績考核結果應自次學年度八月一日執行。</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第四條所定薪給總額，以次學年度八月一日之本薪（年功薪）及其他法定</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加給為基準計算之。但職務加給、地域加給，以考核年度七月三十一日所</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支者為基準計算之。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教師在考核年度內因職務異動致薪給總額減少者，其考核獎金之各種加給</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均以所任職務月數，按比例計算。</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非於年終辦理之另予考核獎金，其薪給總額以最後在職日之本薪（年功薪</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）及其他法定加給為基準計算之。</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18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考核會委員於審查有關委員本人或其配偶、前配偶、四親等內之血親或三</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親等內之姻親或曾有此關係者之事項時，應自行迴避。</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委員有下列各款情形之一者，審查事項之當事人得向考核會申請迴避︰</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一、有前項所定之情形而不自行迴避。</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二、有具體事實，足認其執行任務有偏頗之虞。</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前項申請，應舉其原因及事實，並為適當之釋明；被申請迴避之委員，對</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lastRenderedPageBreak/>
              <w:t>於該申請得提出意見書，由考核會決議之。</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委員有第一項所定情形不自行迴避，而未經審查事項當事人申請迴避者，</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應由考核會主席命其迴避。</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lastRenderedPageBreak/>
              <w:t>第</w:t>
            </w:r>
            <w:r w:rsidRPr="00286005">
              <w:rPr>
                <w:rFonts w:ascii="細明體" w:eastAsia="細明體" w:hAnsi="細明體" w:cs="新細明體"/>
                <w:kern w:val="0"/>
                <w:sz w:val="23"/>
                <w:szCs w:val="23"/>
              </w:rPr>
              <w:t xml:space="preserve"> 19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考核會委員均為無給職。</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教師執行考核會委員職務，以公假處理。</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對於教師之成績考核，應根據確切資料慎重辦理，辦理考核人員對考核過</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程應嚴守秘密，並不得遺漏舛錯，違者按情節輕重予以懲處，其影響考核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結果之正確性者，並得予以撤銷重核。</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20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考核會於審查受考核教師擬考列第四條第一項第三款或懲處事項時，應以</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書面通知該教師陳述意見；通知書應記載陳述意見之目的、時間、地點、</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得否委託他人到場及不到場所生之效果。</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考核會基於調查事實及證據之必要，得以書面通知審查事項之相關人員列</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席說明；通知書應記載列席說明之目的、時間、地點及得否委託他人到場</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21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教師留職停薪借調期滿歸建時，其借調期間及前後在校任教年資服務成績</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優良者，准予併計按學年度補辦成績考核。但不發給考核獎金。</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因案停聘准予復聘人員在考核年度內任職達六個月以上者，准予辦理另予</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考核，其列冊事由並應於備考欄內註明。任職不滿六個月者，不予辦理。</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22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教師成績考核所需表冊格式，由各主管機關定之。</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23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教育部依法定資格派任之高級中等學校軍訓教官及護理教師，其成績考核</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準用本辦法之規定。但軍訓教官之晉級及軍訓教官與護理教師之救濟事項</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，應依其他相關法令規定辦理，不準用第四條第一項第一款至第三款及第</w:t>
            </w:r>
          </w:p>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十六條規定。</w:t>
            </w:r>
          </w:p>
        </w:tc>
      </w:tr>
      <w:tr w:rsidR="001A42E5" w:rsidRPr="00D40BFB" w:rsidTr="00286005">
        <w:trPr>
          <w:tblCellSpacing w:w="15" w:type="dxa"/>
        </w:trPr>
        <w:tc>
          <w:tcPr>
            <w:tcW w:w="550" w:type="pct"/>
            <w:noWrap/>
            <w:tcMar>
              <w:top w:w="45" w:type="dxa"/>
              <w:left w:w="45" w:type="dxa"/>
              <w:bottom w:w="45" w:type="dxa"/>
              <w:right w:w="45" w:type="dxa"/>
            </w:tcMar>
          </w:tcPr>
          <w:p w:rsidR="001A42E5" w:rsidRPr="00286005" w:rsidRDefault="001A42E5" w:rsidP="00286005">
            <w:pPr>
              <w:widowControl/>
              <w:spacing w:line="312" w:lineRule="auto"/>
              <w:rPr>
                <w:rFonts w:ascii="細明體" w:eastAsia="細明體" w:hAnsi="細明體" w:cs="新細明體"/>
                <w:kern w:val="0"/>
                <w:sz w:val="23"/>
                <w:szCs w:val="23"/>
              </w:rPr>
            </w:pPr>
            <w:r w:rsidRPr="00286005">
              <w:rPr>
                <w:rFonts w:ascii="細明體" w:eastAsia="細明體" w:hAnsi="細明體" w:cs="新細明體" w:hint="eastAsia"/>
                <w:kern w:val="0"/>
                <w:sz w:val="23"/>
                <w:szCs w:val="23"/>
              </w:rPr>
              <w:t>第</w:t>
            </w:r>
            <w:r w:rsidRPr="00286005">
              <w:rPr>
                <w:rFonts w:ascii="細明體" w:eastAsia="細明體" w:hAnsi="細明體" w:cs="新細明體"/>
                <w:kern w:val="0"/>
                <w:sz w:val="23"/>
                <w:szCs w:val="23"/>
              </w:rPr>
              <w:t xml:space="preserve"> 24 </w:t>
            </w:r>
            <w:r w:rsidRPr="00286005">
              <w:rPr>
                <w:rFonts w:ascii="細明體" w:eastAsia="細明體" w:hAnsi="細明體" w:cs="新細明體" w:hint="eastAsia"/>
                <w:kern w:val="0"/>
                <w:sz w:val="23"/>
                <w:szCs w:val="23"/>
              </w:rPr>
              <w:t>條</w:t>
            </w:r>
            <w:r w:rsidRPr="00286005">
              <w:rPr>
                <w:rFonts w:ascii="細明體" w:eastAsia="細明體" w:hAnsi="細明體" w:cs="新細明體"/>
                <w:kern w:val="0"/>
                <w:sz w:val="23"/>
                <w:szCs w:val="23"/>
              </w:rPr>
              <w:t xml:space="preserve"> </w:t>
            </w:r>
          </w:p>
        </w:tc>
        <w:tc>
          <w:tcPr>
            <w:tcW w:w="100" w:type="pct"/>
            <w:tcMar>
              <w:top w:w="45" w:type="dxa"/>
              <w:left w:w="45" w:type="dxa"/>
              <w:bottom w:w="45" w:type="dxa"/>
              <w:right w:w="45" w:type="dxa"/>
            </w:tcMar>
          </w:tcPr>
          <w:p w:rsidR="001A42E5" w:rsidRPr="00286005" w:rsidRDefault="001A42E5" w:rsidP="00286005">
            <w:pPr>
              <w:widowControl/>
              <w:spacing w:line="312" w:lineRule="auto"/>
              <w:jc w:val="center"/>
              <w:rPr>
                <w:rFonts w:ascii="細明體" w:eastAsia="細明體" w:hAnsi="細明體" w:cs="新細明體"/>
                <w:kern w:val="0"/>
                <w:sz w:val="23"/>
                <w:szCs w:val="23"/>
              </w:rPr>
            </w:pPr>
            <w:r w:rsidRPr="00286005">
              <w:rPr>
                <w:rFonts w:ascii="細明體" w:eastAsia="細明體" w:hAnsi="細明體" w:cs="新細明體"/>
                <w:kern w:val="0"/>
                <w:sz w:val="23"/>
                <w:szCs w:val="23"/>
              </w:rPr>
              <w:t xml:space="preserve">  </w:t>
            </w:r>
          </w:p>
        </w:tc>
        <w:tc>
          <w:tcPr>
            <w:tcW w:w="4350" w:type="pct"/>
            <w:tcMar>
              <w:top w:w="45" w:type="dxa"/>
              <w:left w:w="45" w:type="dxa"/>
              <w:bottom w:w="45" w:type="dxa"/>
              <w:right w:w="45" w:type="dxa"/>
            </w:tcMar>
          </w:tcPr>
          <w:p w:rsidR="001A42E5" w:rsidRPr="00286005" w:rsidRDefault="001A42E5" w:rsidP="0028600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rFonts w:ascii="細明體" w:eastAsia="細明體" w:hAnsi="細明體" w:cs="細明體"/>
                <w:kern w:val="0"/>
                <w:sz w:val="23"/>
                <w:szCs w:val="23"/>
              </w:rPr>
            </w:pPr>
            <w:r w:rsidRPr="00286005">
              <w:rPr>
                <w:rFonts w:ascii="細明體" w:eastAsia="細明體" w:hAnsi="細明體" w:cs="細明體" w:hint="eastAsia"/>
                <w:kern w:val="0"/>
                <w:sz w:val="23"/>
                <w:szCs w:val="23"/>
              </w:rPr>
              <w:t>本辦法自中華民國一百零三年八月一日施行。</w:t>
            </w:r>
          </w:p>
        </w:tc>
      </w:tr>
    </w:tbl>
    <w:p w:rsidR="001A42E5" w:rsidRPr="00286005" w:rsidRDefault="001A42E5" w:rsidP="00286005">
      <w:pPr>
        <w:widowControl/>
        <w:pBdr>
          <w:top w:val="single" w:sz="6" w:space="1" w:color="auto"/>
        </w:pBdr>
        <w:jc w:val="center"/>
        <w:rPr>
          <w:rFonts w:ascii="Arial" w:hAnsi="Arial" w:cs="Arial"/>
          <w:vanish/>
          <w:kern w:val="0"/>
          <w:sz w:val="16"/>
          <w:szCs w:val="16"/>
        </w:rPr>
      </w:pPr>
      <w:r w:rsidRPr="00286005">
        <w:rPr>
          <w:rFonts w:ascii="Arial" w:hAnsi="Arial" w:cs="Arial" w:hint="eastAsia"/>
          <w:vanish/>
          <w:kern w:val="0"/>
          <w:sz w:val="16"/>
          <w:szCs w:val="16"/>
        </w:rPr>
        <w:t>表單的底部</w:t>
      </w:r>
    </w:p>
    <w:p w:rsidR="001A42E5" w:rsidRDefault="001A42E5"/>
    <w:sectPr w:rsidR="001A42E5" w:rsidSect="00937433">
      <w:pgSz w:w="11906" w:h="16838"/>
      <w:pgMar w:top="1440" w:right="1800" w:bottom="1440" w:left="1800" w:header="851" w:footer="992" w:gutter="0"/>
      <w:cols w:space="425"/>
      <w:rtlGutter/>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E5" w:rsidRDefault="001A42E5" w:rsidP="00230CDD">
      <w:r>
        <w:separator/>
      </w:r>
    </w:p>
  </w:endnote>
  <w:endnote w:type="continuationSeparator" w:id="0">
    <w:p w:rsidR="001A42E5" w:rsidRDefault="001A42E5" w:rsidP="0023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E5" w:rsidRDefault="001A42E5" w:rsidP="00230CDD">
      <w:r>
        <w:separator/>
      </w:r>
    </w:p>
  </w:footnote>
  <w:footnote w:type="continuationSeparator" w:id="0">
    <w:p w:rsidR="001A42E5" w:rsidRDefault="001A42E5" w:rsidP="00230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05"/>
    <w:rsid w:val="00087C0A"/>
    <w:rsid w:val="000B7754"/>
    <w:rsid w:val="001A42E5"/>
    <w:rsid w:val="00230CDD"/>
    <w:rsid w:val="002352EE"/>
    <w:rsid w:val="00286005"/>
    <w:rsid w:val="006326DA"/>
    <w:rsid w:val="00937433"/>
    <w:rsid w:val="00C34182"/>
    <w:rsid w:val="00D40BFB"/>
    <w:rsid w:val="00F953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semiHidden/>
    <w:rsid w:val="00230CDD"/>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230CDD"/>
    <w:rPr>
      <w:rFonts w:cs="Times New Roman"/>
      <w:sz w:val="20"/>
      <w:szCs w:val="20"/>
    </w:rPr>
  </w:style>
  <w:style w:type="paragraph" w:styleId="a5">
    <w:name w:val="footer"/>
    <w:basedOn w:val="a"/>
    <w:link w:val="a6"/>
    <w:uiPriority w:val="99"/>
    <w:semiHidden/>
    <w:rsid w:val="00230CDD"/>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230CD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43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semiHidden/>
    <w:rsid w:val="00230CDD"/>
    <w:pPr>
      <w:tabs>
        <w:tab w:val="center" w:pos="4153"/>
        <w:tab w:val="right" w:pos="8306"/>
      </w:tabs>
      <w:snapToGrid w:val="0"/>
    </w:pPr>
    <w:rPr>
      <w:sz w:val="20"/>
      <w:szCs w:val="20"/>
    </w:rPr>
  </w:style>
  <w:style w:type="character" w:customStyle="1" w:styleId="a4">
    <w:name w:val="頁首 字元"/>
    <w:basedOn w:val="a0"/>
    <w:link w:val="a3"/>
    <w:uiPriority w:val="99"/>
    <w:semiHidden/>
    <w:locked/>
    <w:rsid w:val="00230CDD"/>
    <w:rPr>
      <w:rFonts w:cs="Times New Roman"/>
      <w:sz w:val="20"/>
      <w:szCs w:val="20"/>
    </w:rPr>
  </w:style>
  <w:style w:type="paragraph" w:styleId="a5">
    <w:name w:val="footer"/>
    <w:basedOn w:val="a"/>
    <w:link w:val="a6"/>
    <w:uiPriority w:val="99"/>
    <w:semiHidden/>
    <w:rsid w:val="00230CDD"/>
    <w:pPr>
      <w:tabs>
        <w:tab w:val="center" w:pos="4153"/>
        <w:tab w:val="right" w:pos="8306"/>
      </w:tabs>
      <w:snapToGrid w:val="0"/>
    </w:pPr>
    <w:rPr>
      <w:sz w:val="20"/>
      <w:szCs w:val="20"/>
    </w:rPr>
  </w:style>
  <w:style w:type="character" w:customStyle="1" w:styleId="a6">
    <w:name w:val="頁尾 字元"/>
    <w:basedOn w:val="a0"/>
    <w:link w:val="a5"/>
    <w:uiPriority w:val="99"/>
    <w:semiHidden/>
    <w:locked/>
    <w:rsid w:val="00230CD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5074">
      <w:marLeft w:val="150"/>
      <w:marRight w:val="15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892</Words>
  <Characters>5091</Characters>
  <Application>Microsoft Office Word</Application>
  <DocSecurity>4</DocSecurity>
  <Lines>42</Lines>
  <Paragraphs>11</Paragraphs>
  <ScaleCrop>false</ScaleCrop>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2014-02-19T07:58:00Z</dcterms:created>
  <dcterms:modified xsi:type="dcterms:W3CDTF">2014-02-19T07:58:00Z</dcterms:modified>
</cp:coreProperties>
</file>