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B50" w:rsidRPr="00975B50" w:rsidRDefault="00975B50" w:rsidP="00975B50">
      <w:pPr>
        <w:widowControl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fldChar w:fldCharType="begin"/>
      </w:r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instrText xml:space="preserve"> HYPERLINK "http://ccs.cyc.edu.tw/modules/tadnews/index.php?nsn=956" </w:instrText>
      </w:r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fldChar w:fldCharType="separate"/>
      </w:r>
      <w:r w:rsidRPr="00975B50">
        <w:rPr>
          <w:rFonts w:ascii="新細明體" w:eastAsia="新細明體" w:hAnsi="新細明體" w:cs="新細明體"/>
          <w:color w:val="003366"/>
          <w:kern w:val="0"/>
          <w:sz w:val="21"/>
          <w:szCs w:val="21"/>
        </w:rPr>
        <w:t>轉載臺灣銀行股份有限公司公教保險部網路版公保園地【102年9月份】重要釋示4則</w:t>
      </w:r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fldChar w:fldCharType="end"/>
      </w:r>
      <w:bookmarkEnd w:id="0"/>
    </w:p>
    <w:p w:rsidR="00975B50" w:rsidRPr="00975B50" w:rsidRDefault="00975B50" w:rsidP="00975B50">
      <w:pPr>
        <w:widowControl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t xml:space="preserve">人氣22 </w:t>
      </w:r>
    </w:p>
    <w:p w:rsidR="00975B50" w:rsidRPr="00975B50" w:rsidRDefault="00975B50" w:rsidP="00975B50">
      <w:pPr>
        <w:widowControl/>
        <w:rPr>
          <w:rFonts w:ascii="新細明體" w:eastAsia="新細明體" w:hAnsi="新細明體" w:cs="新細明體"/>
          <w:kern w:val="0"/>
          <w:sz w:val="21"/>
          <w:szCs w:val="21"/>
        </w:rPr>
      </w:pPr>
      <w:hyperlink r:id="rId5" w:history="1">
        <w:r w:rsidRPr="00975B50">
          <w:rPr>
            <w:rFonts w:ascii="新細明體" w:eastAsia="新細明體" w:hAnsi="新細明體" w:cs="新細明體"/>
            <w:color w:val="003366"/>
            <w:kern w:val="0"/>
            <w:sz w:val="21"/>
            <w:szCs w:val="21"/>
          </w:rPr>
          <w:t>人事服務</w:t>
        </w:r>
      </w:hyperlink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t xml:space="preserve"> - </w:t>
      </w:r>
      <w:hyperlink r:id="rId6" w:history="1">
        <w:r w:rsidRPr="00975B50">
          <w:rPr>
            <w:rFonts w:ascii="新細明體" w:eastAsia="新細明體" w:hAnsi="新細明體" w:cs="新細明體"/>
            <w:color w:val="003366"/>
            <w:kern w:val="0"/>
            <w:sz w:val="21"/>
            <w:szCs w:val="21"/>
          </w:rPr>
          <w:t>最新消息</w:t>
        </w:r>
      </w:hyperlink>
      <w:r w:rsidRPr="00975B50">
        <w:rPr>
          <w:rFonts w:ascii="新細明體" w:eastAsia="新細明體" w:hAnsi="新細明體" w:cs="新細明體"/>
          <w:kern w:val="0"/>
          <w:sz w:val="21"/>
          <w:szCs w:val="21"/>
        </w:rPr>
        <w:t xml:space="preserve"> | 2013-09-17 21:54:08 </w:t>
      </w:r>
    </w:p>
    <w:p w:rsidR="00975B50" w:rsidRPr="00975B50" w:rsidRDefault="00975B50" w:rsidP="00975B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Cs w:val="24"/>
        </w:rPr>
        <w:t>主旨：轉載臺灣銀行股份有限公司公教保險部網路版公保園地【102年9月份】重要釋示4則。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Q1：育嬰留職停薪期間選擇遞延繳納保險費之被保險人復職復薪後，如於遞延保險費尚未繳清前離職，要保機關應如何處理？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 A：依銓敘部91年4月24日部退一字第0912127369號函規定，被保險人復職復薪後，如於遞延保險費尚未繳清前離職，要保機關應將該被保險人遞延未繳之保險費一次代為扣繳，如係調職，則由本部通知其新調任之要保機關代為扣繳。</w:t>
      </w:r>
    </w:p>
    <w:p w:rsidR="00975B50" w:rsidRPr="00975B50" w:rsidRDefault="00975B50" w:rsidP="00975B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Cs w:val="24"/>
        </w:rPr>
        <w:t>Q2：要保機關所報異動名冊均需加蓋機關印信，而用印之申請甚為耗時，現行作業中是否有較簡化之作法？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 A：是。查公教人員保險法施行細則第29條第1項規定：「要保機關應依照本法第二條、第二十四條及本細則之規定，統計加保人數，填具異動名冊一式二份，並加蓋印信或公保專用章，向承保機關辦理要保手續。」是以，異動名冊非僅得加蓋機關印信，亦得以公保專用章代替。要保機關如擬使用公保專用章辦理承保業務，應刻製內文為「（要保機關全銜）公教人員保險專用章」之正方形章或長寬比例約為1.5：1之長方形章，並檢附印模乙紙（正本）函送公保部核備；惟公保現金給付業務所填報之書表仍應加蓋機關印信，尚不得以公保專用章代替使用。</w:t>
      </w:r>
    </w:p>
    <w:p w:rsidR="00975B50" w:rsidRPr="00975B50" w:rsidRDefault="00975B50" w:rsidP="00975B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Cs w:val="24"/>
        </w:rPr>
        <w:t>Q3：：被保險人同時撫育2名子女，應如何請領育嬰留職停薪津貼？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 A：依公教人員保險法第17條之1第1項規定：「被保險人加保年資滿一年以上，養育三足歲以下子女，辦理育嬰留職停薪並選擇繼續加保者，得請領育嬰留職停薪津貼。」及第3項規定：「同時撫育子女二人以上者，以請領一人之津貼為限。」是以，被保險人同時撫育子女二人者，同一時間以請領一人之津貼為限。</w:t>
      </w:r>
    </w:p>
    <w:p w:rsidR="00975B50" w:rsidRPr="00975B50" w:rsidRDefault="00975B50" w:rsidP="00975B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975B50">
        <w:rPr>
          <w:rFonts w:ascii="新細明體" w:eastAsia="新細明體" w:hAnsi="新細明體" w:cs="新細明體"/>
          <w:kern w:val="0"/>
          <w:szCs w:val="24"/>
        </w:rPr>
        <w:t>Q4、案例解說：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    某甲自65年4月1日起參加公保，於79年2月1日辭職退保，因某甲不符養老給付請領條件，故無養老給付可資領取。另因公保法並無得申請發還所繳保險費之規定，故亦無法要求退還加保期間已繳之保險費。</w:t>
      </w:r>
      <w:r w:rsidRPr="00975B50">
        <w:rPr>
          <w:rFonts w:ascii="新細明體" w:eastAsia="新細明體" w:hAnsi="新細明體" w:cs="新細明體"/>
          <w:kern w:val="0"/>
          <w:szCs w:val="24"/>
        </w:rPr>
        <w:br/>
        <w:t> A：查某甲79年2月1日退保時適用之公務人員保險法第14條規定：「被保險人在保險有效期間，發生殘廢、養老、死亡、眷屬喪葬四項保險事故時，予以現金給付；其給付金額，以被保險人當月俸給數額為計算給付標準。」及第16條第1項規定：「被保險人繳付保險費5年以上，於依法退休時，依左列規定予以一次養老給付：……。」是以，某甲退保當時非依法退休，並無養老給付可資領取，另查公保法並無得申請發還所繳保險費之規定。</w:t>
      </w:r>
    </w:p>
    <w:p w:rsidR="00E46AA4" w:rsidRPr="00975B50" w:rsidRDefault="00E46AA4"/>
    <w:sectPr w:rsidR="00E46AA4" w:rsidRPr="00975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0"/>
    <w:rsid w:val="00975B50"/>
    <w:rsid w:val="00E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cs.cyc.edu.tw/modules/tadnews/index.php?ncsn=11" TargetMode="External"/><Relationship Id="rId5" Type="http://schemas.openxmlformats.org/officeDocument/2006/relationships/hyperlink" Target="http://ccs.cyc.edu.tw/userinfo.php?u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2013-09-24T08:42:00Z</dcterms:created>
  <dcterms:modified xsi:type="dcterms:W3CDTF">2013-09-24T08:42:00Z</dcterms:modified>
</cp:coreProperties>
</file>