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8AD" w:rsidRPr="00316E2E" w:rsidRDefault="003A18AD" w:rsidP="003A18AD">
      <w:pPr>
        <w:pStyle w:val="1"/>
        <w:spacing w:before="0" w:after="0" w:line="240" w:lineRule="auto"/>
        <w:jc w:val="center"/>
        <w:rPr>
          <w:rFonts w:ascii="標楷體" w:eastAsia="標楷體" w:hAnsi="標楷體"/>
          <w:sz w:val="28"/>
          <w:szCs w:val="28"/>
        </w:rPr>
      </w:pPr>
      <w:bookmarkStart w:id="0" w:name="_Toc479600784"/>
      <w:bookmarkStart w:id="1" w:name="_GoBack"/>
      <w:r w:rsidRPr="00316E2E">
        <w:rPr>
          <w:rFonts w:ascii="標楷體" w:eastAsia="標楷體" w:hAnsi="標楷體" w:hint="eastAsia"/>
          <w:sz w:val="28"/>
          <w:szCs w:val="28"/>
        </w:rPr>
        <w:t>嘉義縣反映十二年國民基本教育課程綱要實施疑難問題與建議事項研覆彙整表</w:t>
      </w:r>
      <w:bookmarkEnd w:id="0"/>
      <w:bookmarkEnd w:id="1"/>
    </w:p>
    <w:p w:rsidR="003A18AD" w:rsidRPr="00413B30" w:rsidRDefault="003A18AD" w:rsidP="003A18AD">
      <w:pPr>
        <w:spacing w:line="360" w:lineRule="auto"/>
        <w:jc w:val="right"/>
        <w:rPr>
          <w:rFonts w:ascii="標楷體" w:eastAsia="標楷體" w:hAnsi="標楷體"/>
          <w:szCs w:val="24"/>
        </w:rPr>
      </w:pPr>
      <w:r w:rsidRPr="00413B30">
        <w:rPr>
          <w:rFonts w:ascii="標楷體" w:eastAsia="標楷體" w:hAnsi="標楷體" w:hint="eastAsia"/>
          <w:szCs w:val="24"/>
        </w:rPr>
        <w:t>研覆時間：106年4月</w:t>
      </w:r>
    </w:p>
    <w:tbl>
      <w:tblPr>
        <w:tblStyle w:val="a5"/>
        <w:tblW w:w="5000" w:type="pct"/>
        <w:tblLook w:val="04A0" w:firstRow="1" w:lastRow="0" w:firstColumn="1" w:lastColumn="0" w:noHBand="0" w:noVBand="1"/>
      </w:tblPr>
      <w:tblGrid>
        <w:gridCol w:w="703"/>
        <w:gridCol w:w="2268"/>
        <w:gridCol w:w="4112"/>
        <w:gridCol w:w="6865"/>
      </w:tblGrid>
      <w:tr w:rsidR="003A18AD" w:rsidRPr="001B3559" w:rsidTr="008510C1">
        <w:trPr>
          <w:tblHeader/>
        </w:trPr>
        <w:tc>
          <w:tcPr>
            <w:tcW w:w="252" w:type="pct"/>
            <w:shd w:val="clear" w:color="auto" w:fill="auto"/>
            <w:vAlign w:val="center"/>
          </w:tcPr>
          <w:p w:rsidR="003A18AD" w:rsidRPr="001B3559" w:rsidRDefault="003A18AD"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項次</w:t>
            </w:r>
          </w:p>
        </w:tc>
        <w:tc>
          <w:tcPr>
            <w:tcW w:w="813" w:type="pct"/>
            <w:shd w:val="clear" w:color="auto" w:fill="auto"/>
            <w:vAlign w:val="center"/>
          </w:tcPr>
          <w:p w:rsidR="003A18AD" w:rsidRPr="001B3559" w:rsidRDefault="003A18AD" w:rsidP="008510C1">
            <w:pPr>
              <w:jc w:val="center"/>
              <w:rPr>
                <w:rFonts w:ascii="標楷體" w:eastAsia="標楷體" w:hAnsi="標楷體" w:cs="Times New Roman"/>
                <w:color w:val="000000" w:themeColor="text1"/>
                <w:sz w:val="20"/>
                <w:szCs w:val="20"/>
              </w:rPr>
            </w:pPr>
            <w:r w:rsidRPr="00715A7B">
              <w:rPr>
                <w:rFonts w:ascii="標楷體" w:eastAsia="標楷體" w:hAnsi="標楷體" w:cs="Times New Roman" w:hint="eastAsia"/>
                <w:color w:val="000000" w:themeColor="text1"/>
                <w:sz w:val="20"/>
                <w:szCs w:val="20"/>
              </w:rPr>
              <w:t>疑難問題描述</w:t>
            </w:r>
          </w:p>
        </w:tc>
        <w:tc>
          <w:tcPr>
            <w:tcW w:w="1474" w:type="pct"/>
            <w:shd w:val="clear" w:color="auto" w:fill="auto"/>
          </w:tcPr>
          <w:p w:rsidR="003A18AD" w:rsidRPr="001B3559" w:rsidRDefault="003A18AD" w:rsidP="008510C1">
            <w:pPr>
              <w:jc w:val="center"/>
              <w:rPr>
                <w:rFonts w:ascii="標楷體" w:eastAsia="標楷體" w:hAnsi="標楷體" w:cs="Times New Roman"/>
                <w:color w:val="000000" w:themeColor="text1"/>
                <w:sz w:val="20"/>
                <w:szCs w:val="20"/>
              </w:rPr>
            </w:pPr>
            <w:r w:rsidRPr="00715A7B">
              <w:rPr>
                <w:rFonts w:ascii="標楷體" w:eastAsia="標楷體" w:hAnsi="標楷體" w:cs="Times New Roman" w:hint="eastAsia"/>
                <w:color w:val="000000" w:themeColor="text1"/>
                <w:sz w:val="20"/>
                <w:szCs w:val="20"/>
              </w:rPr>
              <w:t>疑難問題補充說明與建議事項</w:t>
            </w:r>
          </w:p>
        </w:tc>
        <w:tc>
          <w:tcPr>
            <w:tcW w:w="2461" w:type="pct"/>
            <w:shd w:val="clear" w:color="auto" w:fill="auto"/>
            <w:vAlign w:val="center"/>
          </w:tcPr>
          <w:p w:rsidR="003A18AD" w:rsidRPr="001B3559" w:rsidRDefault="003A18AD" w:rsidP="008510C1">
            <w:pPr>
              <w:jc w:val="cente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研覆說明</w:t>
            </w:r>
          </w:p>
        </w:tc>
      </w:tr>
      <w:tr w:rsidR="003A18AD" w:rsidRPr="001B3559" w:rsidTr="000141FE">
        <w:trPr>
          <w:trHeight w:val="2469"/>
        </w:trPr>
        <w:tc>
          <w:tcPr>
            <w:tcW w:w="252" w:type="pct"/>
          </w:tcPr>
          <w:p w:rsidR="003A18AD" w:rsidRPr="001B3559" w:rsidRDefault="003A18AD"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一</w:t>
            </w:r>
          </w:p>
        </w:tc>
        <w:tc>
          <w:tcPr>
            <w:tcW w:w="813" w:type="pct"/>
          </w:tcPr>
          <w:p w:rsidR="003A18AD" w:rsidRPr="001B3559" w:rsidRDefault="003A18AD"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6</w:t>
            </w:r>
            <w:r w:rsidRPr="001B3559">
              <w:rPr>
                <w:rFonts w:ascii="標楷體" w:eastAsia="標楷體" w:hAnsi="標楷體" w:cs="Times New Roman"/>
                <w:color w:val="000000" w:themeColor="text1"/>
                <w:sz w:val="20"/>
                <w:szCs w:val="20"/>
                <w:lang w:val="zh-TW"/>
              </w:rPr>
              <w:t>班小校課程設計者和審查者都是相同的一群教師。形式意義大於實質。</w:t>
            </w:r>
          </w:p>
        </w:tc>
        <w:tc>
          <w:tcPr>
            <w:tcW w:w="1474" w:type="pct"/>
          </w:tcPr>
          <w:p w:rsidR="003A18AD" w:rsidRPr="001B3559" w:rsidRDefault="003A18AD" w:rsidP="008510C1">
            <w:pPr>
              <w:jc w:val="both"/>
              <w:rPr>
                <w:rFonts w:ascii="標楷體" w:eastAsia="標楷體" w:hAnsi="標楷體" w:cs="Times New Roman"/>
                <w:color w:val="000000" w:themeColor="text1"/>
                <w:sz w:val="20"/>
                <w:szCs w:val="20"/>
              </w:rPr>
            </w:pPr>
          </w:p>
        </w:tc>
        <w:tc>
          <w:tcPr>
            <w:tcW w:w="2461" w:type="pct"/>
          </w:tcPr>
          <w:p w:rsidR="003A18AD" w:rsidRDefault="003A18AD" w:rsidP="003A18AD">
            <w:pPr>
              <w:pStyle w:val="a3"/>
              <w:numPr>
                <w:ilvl w:val="0"/>
                <w:numId w:val="1"/>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依據總綱實施要點規定，學校得考量學校規模與地理特性，聯合成立校際之課程發展委員會。小校之課程發展與審查機制，可以以上述總綱之規定進行彈性辦理。</w:t>
            </w:r>
          </w:p>
          <w:p w:rsidR="003A18AD" w:rsidRPr="007B3C2C" w:rsidRDefault="003A18AD" w:rsidP="003A18AD">
            <w:pPr>
              <w:pStyle w:val="a3"/>
              <w:numPr>
                <w:ilvl w:val="0"/>
                <w:numId w:val="1"/>
              </w:numPr>
              <w:ind w:leftChars="0"/>
              <w:jc w:val="both"/>
              <w:rPr>
                <w:rFonts w:ascii="標楷體" w:eastAsia="標楷體" w:hAnsi="標楷體" w:cs="Times New Roman"/>
                <w:color w:val="000000" w:themeColor="text1"/>
                <w:kern w:val="0"/>
                <w:sz w:val="20"/>
                <w:szCs w:val="20"/>
              </w:rPr>
            </w:pPr>
            <w:r w:rsidRPr="007B3C2C">
              <w:rPr>
                <w:rFonts w:ascii="標楷體" w:eastAsia="標楷體" w:hAnsi="標楷體" w:cs="Times New Roman"/>
                <w:color w:val="000000" w:themeColor="text1"/>
                <w:kern w:val="0"/>
                <w:sz w:val="20"/>
                <w:szCs w:val="20"/>
              </w:rPr>
              <w:t>另，學校課發會也是實踐與探究之社群，課發會委員可以透過課發會實務運作之經驗、持續研討與增能，在設計與審查的工作歷程中共同學習以持續提升課程設計與審議等專業素養。</w:t>
            </w:r>
          </w:p>
        </w:tc>
      </w:tr>
      <w:tr w:rsidR="003A18AD" w:rsidRPr="001B3559" w:rsidTr="000141FE">
        <w:trPr>
          <w:trHeight w:val="3822"/>
        </w:trPr>
        <w:tc>
          <w:tcPr>
            <w:tcW w:w="252" w:type="pct"/>
          </w:tcPr>
          <w:p w:rsidR="003A18AD" w:rsidRPr="007B3C2C" w:rsidRDefault="003A18AD"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二</w:t>
            </w:r>
          </w:p>
        </w:tc>
        <w:tc>
          <w:tcPr>
            <w:tcW w:w="813" w:type="pct"/>
          </w:tcPr>
          <w:p w:rsidR="003A18AD" w:rsidRPr="001B3559" w:rsidRDefault="003A18AD"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lang w:val="zh-TW"/>
              </w:rPr>
              <w:t>課發會審查校內的自編教材，審查委員具備課程審查能力嗎？</w:t>
            </w:r>
          </w:p>
        </w:tc>
        <w:tc>
          <w:tcPr>
            <w:tcW w:w="1474" w:type="pct"/>
          </w:tcPr>
          <w:p w:rsidR="003A18AD" w:rsidRPr="001B3559" w:rsidRDefault="003A18AD" w:rsidP="008510C1">
            <w:pPr>
              <w:jc w:val="both"/>
              <w:rPr>
                <w:rFonts w:ascii="標楷體" w:eastAsia="標楷體" w:hAnsi="標楷體" w:cs="Times New Roman"/>
                <w:color w:val="000000" w:themeColor="text1"/>
                <w:sz w:val="20"/>
                <w:szCs w:val="20"/>
              </w:rPr>
            </w:pPr>
          </w:p>
        </w:tc>
        <w:tc>
          <w:tcPr>
            <w:tcW w:w="2461" w:type="pct"/>
          </w:tcPr>
          <w:p w:rsidR="003A18AD" w:rsidRDefault="003A18AD" w:rsidP="003A18AD">
            <w:pPr>
              <w:pStyle w:val="a3"/>
              <w:numPr>
                <w:ilvl w:val="0"/>
                <w:numId w:val="2"/>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因應學校本位課程的發展趨勢，這次總綱特別規定，學校課程發展委員會之組成及運作方式由學校校務會議決定之，其學校課程發展委員會成員應包括學校行政人員、年級及領域/群科/學程/科目（含特殊需求領域課程）之教師、教師組織代表及學生家長委員會代表，高級中等學校教育階段應再納入專家學者代表，各級學校並得視學校發展需要聘請校外專家學者、社區/部落人士、產業界人士或學生。這些規範與安排都為了讓學校的校本課程發展在討論及審查更加多元與完善。</w:t>
            </w:r>
          </w:p>
          <w:p w:rsidR="003A18AD" w:rsidRPr="007B3C2C" w:rsidRDefault="003A18AD" w:rsidP="003A18AD">
            <w:pPr>
              <w:pStyle w:val="a3"/>
              <w:numPr>
                <w:ilvl w:val="0"/>
                <w:numId w:val="2"/>
              </w:numPr>
              <w:ind w:leftChars="0"/>
              <w:jc w:val="both"/>
              <w:rPr>
                <w:rFonts w:ascii="標楷體" w:eastAsia="標楷體" w:hAnsi="標楷體" w:cs="Times New Roman"/>
                <w:color w:val="000000" w:themeColor="text1"/>
                <w:kern w:val="0"/>
                <w:sz w:val="20"/>
                <w:szCs w:val="20"/>
              </w:rPr>
            </w:pPr>
            <w:r w:rsidRPr="007B3C2C">
              <w:rPr>
                <w:rFonts w:ascii="標楷體" w:eastAsia="標楷體" w:hAnsi="標楷體" w:cs="Times New Roman"/>
                <w:color w:val="000000" w:themeColor="text1"/>
                <w:kern w:val="0"/>
                <w:sz w:val="20"/>
                <w:szCs w:val="20"/>
              </w:rPr>
              <w:t>另外，課發會也是實踐與探究之社群，課發會委員可以透過課發會實務運作之經驗、持續研討與增能，在審查自編教材的工作中共同學習以持續提升自編教材編審的素養。</w:t>
            </w:r>
          </w:p>
        </w:tc>
      </w:tr>
      <w:tr w:rsidR="003A18AD" w:rsidRPr="001B3559" w:rsidTr="008510C1">
        <w:tc>
          <w:tcPr>
            <w:tcW w:w="252" w:type="pct"/>
          </w:tcPr>
          <w:p w:rsidR="003A18AD" w:rsidRDefault="003A18AD"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三</w:t>
            </w:r>
          </w:p>
        </w:tc>
        <w:tc>
          <w:tcPr>
            <w:tcW w:w="813" w:type="pct"/>
          </w:tcPr>
          <w:p w:rsidR="003A18AD" w:rsidRPr="001B3559" w:rsidRDefault="003A18AD" w:rsidP="008510C1">
            <w:pPr>
              <w:jc w:val="both"/>
              <w:rPr>
                <w:rFonts w:ascii="標楷體" w:eastAsia="標楷體" w:hAnsi="標楷體" w:cs="Times New Roman"/>
                <w:color w:val="000000" w:themeColor="text1"/>
                <w:sz w:val="20"/>
                <w:szCs w:val="20"/>
                <w:lang w:val="zh-TW"/>
              </w:rPr>
            </w:pPr>
            <w:r w:rsidRPr="001B3559">
              <w:rPr>
                <w:rFonts w:ascii="標楷體" w:eastAsia="標楷體" w:hAnsi="標楷體" w:cs="Times New Roman"/>
                <w:color w:val="000000" w:themeColor="text1"/>
                <w:sz w:val="20"/>
                <w:szCs w:val="20"/>
                <w:lang w:val="zh-TW"/>
              </w:rPr>
              <w:t>偏鄉小校代理教師多，流動頻繁，常無法順利在課程設計前聘足，影響課發會的運作。</w:t>
            </w:r>
          </w:p>
        </w:tc>
        <w:tc>
          <w:tcPr>
            <w:tcW w:w="1474" w:type="pct"/>
          </w:tcPr>
          <w:p w:rsidR="003A18AD" w:rsidRPr="001B3559" w:rsidRDefault="003A18AD" w:rsidP="008510C1">
            <w:pPr>
              <w:jc w:val="both"/>
              <w:rPr>
                <w:rFonts w:ascii="標楷體" w:eastAsia="標楷體" w:hAnsi="標楷體" w:cs="Times New Roman"/>
                <w:color w:val="000000" w:themeColor="text1"/>
                <w:sz w:val="20"/>
                <w:szCs w:val="20"/>
              </w:rPr>
            </w:pPr>
          </w:p>
        </w:tc>
        <w:tc>
          <w:tcPr>
            <w:tcW w:w="2461" w:type="pct"/>
          </w:tcPr>
          <w:p w:rsidR="003A18AD" w:rsidRDefault="003A18AD" w:rsidP="003A18AD">
            <w:pPr>
              <w:pStyle w:val="a3"/>
              <w:numPr>
                <w:ilvl w:val="0"/>
                <w:numId w:val="3"/>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配合目前代理教師已有再聘制度，具有各該教育階段、科（類）合格教師證書之代理教師最高可在原校</w:t>
            </w:r>
            <w:r w:rsidRPr="001B3559">
              <w:rPr>
                <w:rFonts w:ascii="標楷體" w:eastAsia="標楷體" w:hAnsi="標楷體" w:cs="Times New Roman"/>
                <w:sz w:val="20"/>
                <w:szCs w:val="20"/>
              </w:rPr>
              <w:t>連續</w:t>
            </w:r>
            <w:r w:rsidRPr="001B3559">
              <w:rPr>
                <w:rFonts w:ascii="標楷體" w:eastAsia="標楷體" w:hAnsi="標楷體" w:cs="Times New Roman"/>
                <w:color w:val="000000" w:themeColor="text1"/>
                <w:sz w:val="20"/>
                <w:szCs w:val="20"/>
              </w:rPr>
              <w:t>任教3年，應可適度降低教師流動率，並同時具備正式教師應有之專業知能。</w:t>
            </w:r>
          </w:p>
          <w:p w:rsidR="003A18AD" w:rsidRPr="007B3C2C" w:rsidRDefault="003A18AD" w:rsidP="003A18AD">
            <w:pPr>
              <w:pStyle w:val="a3"/>
              <w:numPr>
                <w:ilvl w:val="0"/>
                <w:numId w:val="3"/>
              </w:numPr>
              <w:ind w:leftChars="0"/>
              <w:jc w:val="both"/>
              <w:rPr>
                <w:rFonts w:ascii="標楷體" w:eastAsia="標楷體" w:hAnsi="標楷體" w:cs="Times New Roman"/>
                <w:color w:val="000000" w:themeColor="text1"/>
                <w:sz w:val="20"/>
                <w:szCs w:val="20"/>
              </w:rPr>
            </w:pPr>
            <w:r w:rsidRPr="007B3C2C">
              <w:rPr>
                <w:rFonts w:ascii="標楷體" w:eastAsia="標楷體" w:hAnsi="標楷體" w:cs="Times New Roman"/>
                <w:color w:val="000000" w:themeColor="text1"/>
                <w:sz w:val="20"/>
                <w:szCs w:val="20"/>
              </w:rPr>
              <w:t>復為提高偏鄉代理教師留任意願，目前本部業於</w:t>
            </w:r>
            <w:r w:rsidRPr="007B3C2C">
              <w:rPr>
                <w:rFonts w:ascii="標楷體" w:eastAsia="標楷體" w:hAnsi="標楷體" w:cs="Times New Roman"/>
                <w:sz w:val="20"/>
                <w:szCs w:val="20"/>
              </w:rPr>
              <w:t>「偏遠地區學校教育發展條例」</w:t>
            </w:r>
            <w:r w:rsidRPr="007B3C2C">
              <w:rPr>
                <w:rFonts w:ascii="標楷體" w:eastAsia="標楷體" w:hAnsi="標楷體" w:cs="Times New Roman"/>
                <w:color w:val="000000" w:themeColor="text1"/>
                <w:sz w:val="20"/>
                <w:szCs w:val="20"/>
              </w:rPr>
              <w:t>草案，增訂偏遠地區學校校長、教師及編制內、外代理教師得於教師待遇條例之外，給予獎金、交通及其他津貼等文字，以期提高代理教師留任意願。</w:t>
            </w:r>
          </w:p>
        </w:tc>
      </w:tr>
      <w:tr w:rsidR="003A18AD" w:rsidRPr="001B3559" w:rsidTr="008510C1">
        <w:tc>
          <w:tcPr>
            <w:tcW w:w="252" w:type="pct"/>
          </w:tcPr>
          <w:p w:rsidR="003A18AD" w:rsidRDefault="003A18AD"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四</w:t>
            </w:r>
          </w:p>
        </w:tc>
        <w:tc>
          <w:tcPr>
            <w:tcW w:w="813" w:type="pct"/>
          </w:tcPr>
          <w:p w:rsidR="003A18AD" w:rsidRPr="001B3559" w:rsidRDefault="003A18AD" w:rsidP="008510C1">
            <w:pPr>
              <w:jc w:val="both"/>
              <w:rPr>
                <w:rFonts w:ascii="標楷體" w:eastAsia="標楷體" w:hAnsi="標楷體" w:cs="Times New Roman"/>
                <w:color w:val="000000" w:themeColor="text1"/>
                <w:sz w:val="20"/>
                <w:szCs w:val="20"/>
                <w:lang w:val="zh-TW"/>
              </w:rPr>
            </w:pPr>
            <w:r w:rsidRPr="007B3C2C">
              <w:rPr>
                <w:rFonts w:ascii="標楷體" w:eastAsia="標楷體" w:hAnsi="標楷體" w:cs="Times New Roman" w:hint="eastAsia"/>
                <w:color w:val="000000" w:themeColor="text1"/>
                <w:sz w:val="20"/>
                <w:szCs w:val="20"/>
                <w:lang w:val="zh-TW"/>
              </w:rPr>
              <w:t>鼓勵教師協同教學，相關配套措施（例如：經費）可否有補助？</w:t>
            </w:r>
          </w:p>
        </w:tc>
        <w:tc>
          <w:tcPr>
            <w:tcW w:w="1474" w:type="pct"/>
          </w:tcPr>
          <w:p w:rsidR="003A18AD" w:rsidRPr="001B3559" w:rsidRDefault="003A18AD" w:rsidP="008510C1">
            <w:pPr>
              <w:jc w:val="both"/>
              <w:rPr>
                <w:rFonts w:ascii="標楷體" w:eastAsia="標楷體" w:hAnsi="標楷體" w:cs="Times New Roman"/>
                <w:color w:val="000000" w:themeColor="text1"/>
                <w:sz w:val="20"/>
                <w:szCs w:val="20"/>
              </w:rPr>
            </w:pPr>
          </w:p>
        </w:tc>
        <w:tc>
          <w:tcPr>
            <w:tcW w:w="2461" w:type="pct"/>
          </w:tcPr>
          <w:p w:rsidR="003A18AD" w:rsidRPr="00604041" w:rsidRDefault="003A18AD" w:rsidP="008510C1">
            <w:pPr>
              <w:jc w:val="both"/>
              <w:rPr>
                <w:rFonts w:ascii="標楷體" w:eastAsia="標楷體" w:hAnsi="標楷體" w:cs="Times New Roman"/>
                <w:color w:val="000000" w:themeColor="text1"/>
                <w:sz w:val="20"/>
                <w:szCs w:val="20"/>
              </w:rPr>
            </w:pPr>
            <w:r w:rsidRPr="00604041">
              <w:rPr>
                <w:rFonts w:ascii="標楷體" w:eastAsia="標楷體" w:hAnsi="標楷體" w:cs="Times New Roman" w:hint="eastAsia"/>
                <w:color w:val="000000" w:themeColor="text1"/>
                <w:sz w:val="20"/>
                <w:szCs w:val="20"/>
              </w:rPr>
              <w:t>詳如共通性問題</w:t>
            </w:r>
            <w:r w:rsidRPr="00604041">
              <w:rPr>
                <w:rFonts w:ascii="標楷體" w:eastAsia="標楷體" w:hAnsi="標楷體" w:cs="Times New Roman" w:hint="eastAsia"/>
                <w:sz w:val="20"/>
                <w:szCs w:val="20"/>
              </w:rPr>
              <w:t>項次</w:t>
            </w:r>
            <w:r>
              <w:rPr>
                <w:rFonts w:ascii="標楷體" w:eastAsia="標楷體" w:hAnsi="標楷體" w:cs="Times New Roman" w:hint="eastAsia"/>
                <w:color w:val="000000" w:themeColor="text1"/>
                <w:sz w:val="20"/>
                <w:szCs w:val="20"/>
              </w:rPr>
              <w:t>一</w:t>
            </w:r>
            <w:r w:rsidRPr="00604041">
              <w:rPr>
                <w:rFonts w:ascii="標楷體" w:eastAsia="標楷體" w:hAnsi="標楷體" w:cs="Times New Roman"/>
                <w:color w:val="000000" w:themeColor="text1"/>
                <w:sz w:val="20"/>
                <w:szCs w:val="20"/>
              </w:rPr>
              <w:t>。</w:t>
            </w:r>
          </w:p>
        </w:tc>
      </w:tr>
      <w:tr w:rsidR="003A18AD" w:rsidRPr="001B3559" w:rsidTr="008510C1">
        <w:tc>
          <w:tcPr>
            <w:tcW w:w="252" w:type="pct"/>
          </w:tcPr>
          <w:p w:rsidR="003A18AD" w:rsidRDefault="003A18AD"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五</w:t>
            </w:r>
          </w:p>
        </w:tc>
        <w:tc>
          <w:tcPr>
            <w:tcW w:w="813" w:type="pct"/>
          </w:tcPr>
          <w:p w:rsidR="003A18AD" w:rsidRPr="00002381" w:rsidRDefault="003A18AD"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lang w:val="zh-TW"/>
              </w:rPr>
              <w:t>未來</w:t>
            </w:r>
            <w:r w:rsidRPr="001B3559">
              <w:rPr>
                <w:rFonts w:ascii="標楷體" w:eastAsia="標楷體" w:hAnsi="標楷體" w:cs="Times New Roman"/>
                <w:color w:val="000000" w:themeColor="text1"/>
                <w:sz w:val="20"/>
                <w:szCs w:val="20"/>
              </w:rPr>
              <w:t>107</w:t>
            </w:r>
            <w:r w:rsidRPr="001B3559">
              <w:rPr>
                <w:rFonts w:ascii="標楷體" w:eastAsia="標楷體" w:hAnsi="標楷體" w:cs="Times New Roman"/>
                <w:color w:val="000000" w:themeColor="text1"/>
                <w:sz w:val="20"/>
                <w:szCs w:val="20"/>
                <w:lang w:val="zh-TW"/>
              </w:rPr>
              <w:t>課綱上路後的課程計畫呈現方式，以及本位課程設計是否有更明確的格式與標準？</w:t>
            </w:r>
          </w:p>
        </w:tc>
        <w:tc>
          <w:tcPr>
            <w:tcW w:w="1474" w:type="pct"/>
          </w:tcPr>
          <w:p w:rsidR="003A18AD" w:rsidRPr="001B3559" w:rsidRDefault="003A18AD" w:rsidP="008510C1">
            <w:pPr>
              <w:jc w:val="both"/>
              <w:rPr>
                <w:rFonts w:ascii="標楷體" w:eastAsia="標楷體" w:hAnsi="標楷體" w:cs="Times New Roman"/>
                <w:color w:val="000000" w:themeColor="text1"/>
                <w:sz w:val="20"/>
                <w:szCs w:val="20"/>
              </w:rPr>
            </w:pPr>
          </w:p>
        </w:tc>
        <w:tc>
          <w:tcPr>
            <w:tcW w:w="2461" w:type="pct"/>
          </w:tcPr>
          <w:p w:rsidR="003A18AD" w:rsidRPr="00604041" w:rsidRDefault="003A18AD" w:rsidP="008510C1">
            <w:pPr>
              <w:jc w:val="both"/>
              <w:rPr>
                <w:rFonts w:ascii="標楷體" w:eastAsia="標楷體" w:hAnsi="標楷體" w:cs="Times New Roman"/>
                <w:color w:val="000000" w:themeColor="text1"/>
                <w:sz w:val="20"/>
                <w:szCs w:val="20"/>
              </w:rPr>
            </w:pPr>
            <w:r w:rsidRPr="00604041">
              <w:rPr>
                <w:rFonts w:ascii="標楷體" w:eastAsia="標楷體" w:hAnsi="標楷體" w:cs="Times New Roman" w:hint="eastAsia"/>
                <w:color w:val="000000" w:themeColor="text1"/>
                <w:sz w:val="20"/>
                <w:szCs w:val="20"/>
              </w:rPr>
              <w:t>詳如共通性問題</w:t>
            </w:r>
            <w:r w:rsidRPr="00604041">
              <w:rPr>
                <w:rFonts w:ascii="標楷體" w:eastAsia="標楷體" w:hAnsi="標楷體" w:cs="Times New Roman" w:hint="eastAsia"/>
                <w:sz w:val="20"/>
                <w:szCs w:val="20"/>
              </w:rPr>
              <w:t>項次</w:t>
            </w:r>
            <w:r>
              <w:rPr>
                <w:rFonts w:ascii="標楷體" w:eastAsia="標楷體" w:hAnsi="標楷體" w:cs="Times New Roman" w:hint="eastAsia"/>
                <w:color w:val="000000" w:themeColor="text1"/>
                <w:sz w:val="20"/>
                <w:szCs w:val="20"/>
              </w:rPr>
              <w:t>六</w:t>
            </w:r>
            <w:r w:rsidRPr="00604041">
              <w:rPr>
                <w:rFonts w:ascii="標楷體" w:eastAsia="標楷體" w:hAnsi="標楷體" w:cs="Times New Roman"/>
                <w:color w:val="000000" w:themeColor="text1"/>
                <w:sz w:val="20"/>
                <w:szCs w:val="20"/>
              </w:rPr>
              <w:t>。</w:t>
            </w:r>
          </w:p>
        </w:tc>
      </w:tr>
    </w:tbl>
    <w:p w:rsidR="006B76A4" w:rsidRPr="003A18AD" w:rsidRDefault="006B76A4"/>
    <w:sectPr w:rsidR="006B76A4" w:rsidRPr="003A18AD" w:rsidSect="003A18AD">
      <w:footerReference w:type="default" r:id="rId7"/>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BDA" w:rsidRDefault="00386BDA" w:rsidP="003A18AD">
      <w:r>
        <w:separator/>
      </w:r>
    </w:p>
  </w:endnote>
  <w:endnote w:type="continuationSeparator" w:id="0">
    <w:p w:rsidR="00386BDA" w:rsidRDefault="00386BDA" w:rsidP="003A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76408"/>
      <w:docPartObj>
        <w:docPartGallery w:val="Page Numbers (Bottom of Page)"/>
        <w:docPartUnique/>
      </w:docPartObj>
    </w:sdtPr>
    <w:sdtEndPr>
      <w:rPr>
        <w:rFonts w:ascii="Times New Roman" w:hAnsi="Times New Roman" w:cs="Times New Roman"/>
      </w:rPr>
    </w:sdtEndPr>
    <w:sdtContent>
      <w:p w:rsidR="003A18AD" w:rsidRPr="003A18AD" w:rsidRDefault="003A18AD">
        <w:pPr>
          <w:pStyle w:val="a8"/>
          <w:jc w:val="center"/>
          <w:rPr>
            <w:rFonts w:ascii="Times New Roman" w:hAnsi="Times New Roman" w:cs="Times New Roman"/>
          </w:rPr>
        </w:pPr>
        <w:r w:rsidRPr="003A18AD">
          <w:rPr>
            <w:rFonts w:ascii="Times New Roman" w:hAnsi="Times New Roman" w:cs="Times New Roman"/>
          </w:rPr>
          <w:fldChar w:fldCharType="begin"/>
        </w:r>
        <w:r w:rsidRPr="003A18AD">
          <w:rPr>
            <w:rFonts w:ascii="Times New Roman" w:hAnsi="Times New Roman" w:cs="Times New Roman"/>
          </w:rPr>
          <w:instrText>PAGE   \* MERGEFORMAT</w:instrText>
        </w:r>
        <w:r w:rsidRPr="003A18AD">
          <w:rPr>
            <w:rFonts w:ascii="Times New Roman" w:hAnsi="Times New Roman" w:cs="Times New Roman"/>
          </w:rPr>
          <w:fldChar w:fldCharType="separate"/>
        </w:r>
        <w:r w:rsidR="000141FE" w:rsidRPr="000141FE">
          <w:rPr>
            <w:rFonts w:ascii="Times New Roman" w:hAnsi="Times New Roman" w:cs="Times New Roman"/>
            <w:noProof/>
            <w:lang w:val="zh-TW"/>
          </w:rPr>
          <w:t>2</w:t>
        </w:r>
        <w:r w:rsidRPr="003A18AD">
          <w:rPr>
            <w:rFonts w:ascii="Times New Roman" w:hAnsi="Times New Roman" w:cs="Times New Roman"/>
          </w:rPr>
          <w:fldChar w:fldCharType="end"/>
        </w:r>
      </w:p>
    </w:sdtContent>
  </w:sdt>
  <w:p w:rsidR="003A18AD" w:rsidRDefault="003A18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BDA" w:rsidRDefault="00386BDA" w:rsidP="003A18AD">
      <w:r>
        <w:separator/>
      </w:r>
    </w:p>
  </w:footnote>
  <w:footnote w:type="continuationSeparator" w:id="0">
    <w:p w:rsidR="00386BDA" w:rsidRDefault="00386BDA" w:rsidP="003A1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E0B18"/>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A1777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A4D5BBC"/>
    <w:multiLevelType w:val="hybridMultilevel"/>
    <w:tmpl w:val="DEE6A4C8"/>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AD"/>
    <w:rsid w:val="000141FE"/>
    <w:rsid w:val="00386BDA"/>
    <w:rsid w:val="003A18AD"/>
    <w:rsid w:val="006B76A4"/>
    <w:rsid w:val="00DE74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52473-628F-4373-A72A-2E2A6733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8AD"/>
    <w:pPr>
      <w:widowControl w:val="0"/>
    </w:pPr>
  </w:style>
  <w:style w:type="paragraph" w:styleId="1">
    <w:name w:val="heading 1"/>
    <w:basedOn w:val="a"/>
    <w:next w:val="a"/>
    <w:link w:val="10"/>
    <w:uiPriority w:val="9"/>
    <w:qFormat/>
    <w:rsid w:val="003A18A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A18AD"/>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3A18AD"/>
    <w:pPr>
      <w:ind w:leftChars="200" w:left="480"/>
    </w:pPr>
  </w:style>
  <w:style w:type="character" w:customStyle="1" w:styleId="a4">
    <w:name w:val="清單段落 字元"/>
    <w:link w:val="a3"/>
    <w:uiPriority w:val="34"/>
    <w:rsid w:val="003A18AD"/>
  </w:style>
  <w:style w:type="table" w:styleId="a5">
    <w:name w:val="Table Grid"/>
    <w:basedOn w:val="a1"/>
    <w:uiPriority w:val="39"/>
    <w:rsid w:val="003A1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A18AD"/>
    <w:pPr>
      <w:tabs>
        <w:tab w:val="center" w:pos="4153"/>
        <w:tab w:val="right" w:pos="8306"/>
      </w:tabs>
      <w:snapToGrid w:val="0"/>
    </w:pPr>
    <w:rPr>
      <w:sz w:val="20"/>
      <w:szCs w:val="20"/>
    </w:rPr>
  </w:style>
  <w:style w:type="character" w:customStyle="1" w:styleId="a7">
    <w:name w:val="頁首 字元"/>
    <w:basedOn w:val="a0"/>
    <w:link w:val="a6"/>
    <w:uiPriority w:val="99"/>
    <w:rsid w:val="003A18AD"/>
    <w:rPr>
      <w:sz w:val="20"/>
      <w:szCs w:val="20"/>
    </w:rPr>
  </w:style>
  <w:style w:type="paragraph" w:styleId="a8">
    <w:name w:val="footer"/>
    <w:basedOn w:val="a"/>
    <w:link w:val="a9"/>
    <w:uiPriority w:val="99"/>
    <w:unhideWhenUsed/>
    <w:rsid w:val="003A18AD"/>
    <w:pPr>
      <w:tabs>
        <w:tab w:val="center" w:pos="4153"/>
        <w:tab w:val="right" w:pos="8306"/>
      </w:tabs>
      <w:snapToGrid w:val="0"/>
    </w:pPr>
    <w:rPr>
      <w:sz w:val="20"/>
      <w:szCs w:val="20"/>
    </w:rPr>
  </w:style>
  <w:style w:type="character" w:customStyle="1" w:styleId="a9">
    <w:name w:val="頁尾 字元"/>
    <w:basedOn w:val="a0"/>
    <w:link w:val="a8"/>
    <w:uiPriority w:val="99"/>
    <w:rsid w:val="003A18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小志</cp:lastModifiedBy>
  <cp:revision>2</cp:revision>
  <dcterms:created xsi:type="dcterms:W3CDTF">2017-04-24T23:29:00Z</dcterms:created>
  <dcterms:modified xsi:type="dcterms:W3CDTF">2017-04-24T23:29:00Z</dcterms:modified>
</cp:coreProperties>
</file>